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01" w:rsidRDefault="00636801" w:rsidP="00636801">
      <w:pPr>
        <w:pStyle w:val="Heading2"/>
        <w:spacing w:line="360" w:lineRule="auto"/>
        <w:jc w:val="center"/>
        <w:rPr>
          <w:rFonts w:ascii="Times New Roman" w:hAnsi="Times New Roman"/>
          <w:b w:val="0"/>
          <w:sz w:val="24"/>
          <w:szCs w:val="24"/>
        </w:rPr>
      </w:pPr>
      <w:r>
        <w:rPr>
          <w:rFonts w:ascii="Times New Roman" w:hAnsi="Times New Roman"/>
          <w:b w:val="0"/>
          <w:sz w:val="24"/>
          <w:szCs w:val="24"/>
        </w:rPr>
        <w:t>Iepirkuma komisijas</w:t>
      </w:r>
    </w:p>
    <w:p w:rsidR="00636801" w:rsidRDefault="00297671" w:rsidP="00636801">
      <w:pPr>
        <w:jc w:val="center"/>
        <w:rPr>
          <w:bCs/>
          <w:sz w:val="24"/>
          <w:szCs w:val="24"/>
          <w:lang w:val="lv-LV"/>
        </w:rPr>
      </w:pPr>
      <w:r>
        <w:rPr>
          <w:bCs/>
          <w:sz w:val="24"/>
          <w:szCs w:val="24"/>
          <w:lang w:val="lv-LV"/>
        </w:rPr>
        <w:t xml:space="preserve">2018. gada </w:t>
      </w:r>
      <w:r w:rsidR="001239B9">
        <w:rPr>
          <w:bCs/>
          <w:sz w:val="24"/>
          <w:szCs w:val="24"/>
          <w:lang w:val="lv-LV"/>
        </w:rPr>
        <w:t>10</w:t>
      </w:r>
      <w:r w:rsidR="00C50618">
        <w:rPr>
          <w:bCs/>
          <w:sz w:val="24"/>
          <w:szCs w:val="24"/>
          <w:lang w:val="lv-LV"/>
        </w:rPr>
        <w:t>.aprīļa</w:t>
      </w:r>
      <w:r w:rsidR="00636801">
        <w:rPr>
          <w:bCs/>
          <w:sz w:val="24"/>
          <w:szCs w:val="24"/>
          <w:lang w:val="lv-LV"/>
        </w:rPr>
        <w:t xml:space="preserve"> komisijas sēdē sniegtās atbildes uz uzdotajiem jautājumiem par iepirkumu</w:t>
      </w:r>
    </w:p>
    <w:p w:rsidR="00636801" w:rsidRDefault="00636801" w:rsidP="00636801">
      <w:pPr>
        <w:jc w:val="center"/>
        <w:rPr>
          <w:bCs/>
          <w:sz w:val="24"/>
          <w:szCs w:val="24"/>
          <w:lang w:val="lv-LV"/>
        </w:rPr>
      </w:pPr>
      <w:r>
        <w:rPr>
          <w:bCs/>
          <w:sz w:val="24"/>
          <w:szCs w:val="24"/>
          <w:lang w:val="lv-LV"/>
        </w:rPr>
        <w:t xml:space="preserve"> </w:t>
      </w:r>
    </w:p>
    <w:p w:rsidR="00636801" w:rsidRDefault="00636801" w:rsidP="00636801">
      <w:pPr>
        <w:jc w:val="center"/>
        <w:rPr>
          <w:b/>
          <w:sz w:val="26"/>
          <w:szCs w:val="26"/>
          <w:lang w:val="lv-LV"/>
        </w:rPr>
      </w:pPr>
      <w:r>
        <w:rPr>
          <w:b/>
          <w:sz w:val="26"/>
          <w:szCs w:val="26"/>
          <w:lang w:val="lv-LV"/>
        </w:rPr>
        <w:t>„</w:t>
      </w:r>
      <w:r w:rsidRPr="00636801">
        <w:rPr>
          <w:sz w:val="24"/>
          <w:szCs w:val="24"/>
          <w:lang w:val="lv-LV"/>
        </w:rPr>
        <w:t xml:space="preserve"> </w:t>
      </w:r>
      <w:r w:rsidRPr="00636801">
        <w:rPr>
          <w:b/>
          <w:sz w:val="24"/>
          <w:szCs w:val="24"/>
          <w:lang w:val="lv-LV"/>
        </w:rPr>
        <w:t>Informatīvās kampaņas organizēšana ESF projekta “Atbalsts ilgstošajiem bezdarbniekiem” Nr. 9.1.1.2/15/I/001 ietvaros” un ESF projekta “Atbalsts ilgākam darba mūžam” Nr. 7.3.2.0/16/I/001 ietvaros</w:t>
      </w:r>
      <w:r>
        <w:rPr>
          <w:b/>
          <w:sz w:val="26"/>
          <w:szCs w:val="26"/>
          <w:lang w:val="lv-LV"/>
        </w:rPr>
        <w:t>”</w:t>
      </w:r>
    </w:p>
    <w:p w:rsidR="00636801" w:rsidRDefault="00636801" w:rsidP="00636801">
      <w:pPr>
        <w:jc w:val="center"/>
        <w:rPr>
          <w:sz w:val="26"/>
          <w:szCs w:val="26"/>
          <w:lang w:val="lv-LV"/>
        </w:rPr>
      </w:pPr>
      <w:r>
        <w:rPr>
          <w:sz w:val="26"/>
          <w:szCs w:val="26"/>
          <w:lang w:val="lv-LV"/>
        </w:rPr>
        <w:t>ID Nr. NVA 2018/2_ESF</w:t>
      </w:r>
    </w:p>
    <w:p w:rsidR="003323EE" w:rsidRDefault="003323EE" w:rsidP="00636801">
      <w:pPr>
        <w:jc w:val="center"/>
        <w:rPr>
          <w:sz w:val="26"/>
          <w:szCs w:val="26"/>
          <w:lang w:val="lv-LV"/>
        </w:rPr>
      </w:pPr>
    </w:p>
    <w:p w:rsidR="003323EE" w:rsidRDefault="003323EE" w:rsidP="00636801">
      <w:pPr>
        <w:jc w:val="center"/>
        <w:rPr>
          <w:sz w:val="26"/>
          <w:szCs w:val="26"/>
          <w:lang w:val="lv-LV"/>
        </w:rPr>
      </w:pPr>
    </w:p>
    <w:p w:rsidR="00636801" w:rsidRPr="00EC2606" w:rsidRDefault="00636801" w:rsidP="00EC2606">
      <w:pPr>
        <w:pStyle w:val="PlainText"/>
        <w:numPr>
          <w:ilvl w:val="0"/>
          <w:numId w:val="1"/>
        </w:numPr>
        <w:rPr>
          <w:rFonts w:ascii="Times New Roman" w:hAnsi="Times New Roman" w:cs="Times New Roman"/>
          <w:b/>
          <w:sz w:val="24"/>
          <w:szCs w:val="24"/>
          <w:lang w:val="lv-LV"/>
        </w:rPr>
      </w:pPr>
      <w:r>
        <w:rPr>
          <w:rFonts w:ascii="Times New Roman" w:hAnsi="Times New Roman" w:cs="Times New Roman"/>
          <w:b/>
          <w:sz w:val="24"/>
          <w:szCs w:val="24"/>
          <w:lang w:val="lv-LV"/>
        </w:rPr>
        <w:t>jautājums:</w:t>
      </w:r>
    </w:p>
    <w:p w:rsidR="001239B9" w:rsidRPr="001239B9" w:rsidRDefault="001239B9" w:rsidP="001239B9">
      <w:pPr>
        <w:jc w:val="both"/>
        <w:rPr>
          <w:rFonts w:eastAsiaTheme="minorHAnsi"/>
          <w:i/>
          <w:sz w:val="24"/>
          <w:szCs w:val="24"/>
          <w:lang w:val="lv-LV"/>
        </w:rPr>
      </w:pPr>
      <w:r w:rsidRPr="001239B9">
        <w:rPr>
          <w:rFonts w:eastAsiaTheme="minorHAnsi"/>
          <w:i/>
          <w:sz w:val="24"/>
          <w:szCs w:val="24"/>
          <w:lang w:val="lv-LV"/>
        </w:rPr>
        <w:t xml:space="preserve">Rakstu Jums saistībā ar jautājumu par iepirkumu nr. NVA 2018/2_ESF - Iepirkuma priekšmeta 2.daļu </w:t>
      </w:r>
      <w:r w:rsidR="00565E74">
        <w:rPr>
          <w:rFonts w:eastAsiaTheme="minorHAnsi"/>
          <w:i/>
          <w:sz w:val="24"/>
          <w:szCs w:val="24"/>
          <w:lang w:val="lv-LV"/>
        </w:rPr>
        <w:t>- Atbalsts ilgākam darba mūžam.</w:t>
      </w:r>
    </w:p>
    <w:p w:rsidR="001239B9" w:rsidRPr="001239B9" w:rsidRDefault="001239B9" w:rsidP="001239B9">
      <w:pPr>
        <w:jc w:val="both"/>
        <w:rPr>
          <w:rFonts w:eastAsiaTheme="minorHAnsi"/>
          <w:i/>
          <w:sz w:val="24"/>
          <w:szCs w:val="24"/>
          <w:lang w:val="lv-LV"/>
        </w:rPr>
      </w:pPr>
      <w:r w:rsidRPr="001239B9">
        <w:rPr>
          <w:rFonts w:eastAsiaTheme="minorHAnsi"/>
          <w:i/>
          <w:sz w:val="24"/>
          <w:szCs w:val="24"/>
          <w:lang w:val="lv-LV"/>
        </w:rPr>
        <w:t>Iepirkuma 2.daļas 2.punktā jeb Iepirkuma priekšmeta detalizēta aprakstā 2.</w:t>
      </w:r>
      <w:r w:rsidR="00565E74">
        <w:rPr>
          <w:rFonts w:eastAsiaTheme="minorHAnsi"/>
          <w:i/>
          <w:sz w:val="24"/>
          <w:szCs w:val="24"/>
          <w:lang w:val="lv-LV"/>
        </w:rPr>
        <w:t>7.punktā minēta mērķauditorija:</w:t>
      </w:r>
    </w:p>
    <w:p w:rsidR="001239B9" w:rsidRPr="001239B9" w:rsidRDefault="001239B9" w:rsidP="001239B9">
      <w:pPr>
        <w:jc w:val="both"/>
        <w:rPr>
          <w:rFonts w:eastAsiaTheme="minorHAnsi"/>
          <w:i/>
          <w:sz w:val="24"/>
          <w:szCs w:val="24"/>
          <w:lang w:val="lv-LV"/>
        </w:rPr>
      </w:pPr>
      <w:r w:rsidRPr="001239B9">
        <w:rPr>
          <w:rFonts w:eastAsiaTheme="minorHAnsi"/>
          <w:i/>
          <w:sz w:val="24"/>
          <w:szCs w:val="24"/>
          <w:lang w:val="lv-LV"/>
        </w:rPr>
        <w:t>"Primārā mērķauditorija:</w:t>
      </w:r>
    </w:p>
    <w:p w:rsidR="001239B9" w:rsidRPr="001239B9" w:rsidRDefault="001239B9" w:rsidP="001239B9">
      <w:pPr>
        <w:jc w:val="both"/>
        <w:rPr>
          <w:rFonts w:eastAsiaTheme="minorHAnsi"/>
          <w:i/>
          <w:sz w:val="24"/>
          <w:szCs w:val="24"/>
          <w:lang w:val="lv-LV"/>
        </w:rPr>
      </w:pPr>
      <w:bookmarkStart w:id="0" w:name="_Hlk511129359"/>
      <w:r w:rsidRPr="001239B9">
        <w:rPr>
          <w:rFonts w:eastAsiaTheme="minorHAnsi"/>
          <w:i/>
          <w:sz w:val="24"/>
          <w:szCs w:val="24"/>
          <w:lang w:val="lv-LV"/>
        </w:rPr>
        <w:t>Darba devēji no prioritāri atbalstāmajām nozarēm un bezdarba riskam pakļautie nodarbinātie cilvēki vecumā no 50 gadiem</w:t>
      </w:r>
      <w:bookmarkEnd w:id="0"/>
      <w:r w:rsidRPr="001239B9">
        <w:rPr>
          <w:rFonts w:eastAsiaTheme="minorHAnsi"/>
          <w:i/>
          <w:sz w:val="24"/>
          <w:szCs w:val="24"/>
          <w:lang w:val="lv-LV"/>
        </w:rPr>
        <w:t>.</w:t>
      </w:r>
    </w:p>
    <w:p w:rsidR="001239B9" w:rsidRPr="001239B9" w:rsidRDefault="001239B9" w:rsidP="001239B9">
      <w:pPr>
        <w:jc w:val="both"/>
        <w:rPr>
          <w:rFonts w:eastAsiaTheme="minorHAnsi"/>
          <w:i/>
          <w:sz w:val="24"/>
          <w:szCs w:val="24"/>
          <w:lang w:val="lv-LV"/>
        </w:rPr>
      </w:pPr>
      <w:r w:rsidRPr="001239B9">
        <w:rPr>
          <w:rFonts w:eastAsiaTheme="minorHAnsi"/>
          <w:i/>
          <w:sz w:val="24"/>
          <w:szCs w:val="24"/>
          <w:lang w:val="lv-LV"/>
        </w:rPr>
        <w:t>Sekundārā mērķauditorija: Sabiedrība kopumā".</w:t>
      </w:r>
    </w:p>
    <w:p w:rsidR="001239B9" w:rsidRPr="001239B9" w:rsidRDefault="001239B9" w:rsidP="001239B9">
      <w:pPr>
        <w:jc w:val="both"/>
        <w:rPr>
          <w:rFonts w:eastAsiaTheme="minorHAnsi"/>
          <w:i/>
          <w:sz w:val="24"/>
          <w:szCs w:val="24"/>
          <w:lang w:val="lv-LV"/>
        </w:rPr>
      </w:pPr>
      <w:r w:rsidRPr="001239B9">
        <w:rPr>
          <w:rFonts w:eastAsiaTheme="minorHAnsi"/>
          <w:i/>
          <w:sz w:val="24"/>
          <w:szCs w:val="24"/>
          <w:lang w:val="lv-LV"/>
        </w:rPr>
        <w:t>Šī punkta atsaucē īpaši smalki uzskaitītas īpaši atbalstāmās darba devēju grupas pa saimnieciskās darbības veidiem, liekot noprast, cik būti</w:t>
      </w:r>
      <w:r w:rsidR="00565E74">
        <w:rPr>
          <w:rFonts w:eastAsiaTheme="minorHAnsi"/>
          <w:i/>
          <w:sz w:val="24"/>
          <w:szCs w:val="24"/>
          <w:lang w:val="lv-LV"/>
        </w:rPr>
        <w:t>ska mērķauditorijas daļa tā ir.</w:t>
      </w:r>
    </w:p>
    <w:p w:rsidR="001239B9" w:rsidRPr="001239B9" w:rsidRDefault="001239B9" w:rsidP="001239B9">
      <w:pPr>
        <w:jc w:val="both"/>
        <w:rPr>
          <w:rFonts w:eastAsiaTheme="minorHAnsi"/>
          <w:i/>
          <w:sz w:val="24"/>
          <w:szCs w:val="24"/>
          <w:lang w:val="lv-LV"/>
        </w:rPr>
      </w:pPr>
      <w:r w:rsidRPr="001239B9">
        <w:rPr>
          <w:rFonts w:eastAsiaTheme="minorHAnsi"/>
          <w:i/>
          <w:sz w:val="24"/>
          <w:szCs w:val="24"/>
          <w:lang w:val="lv-LV"/>
        </w:rPr>
        <w:t xml:space="preserve">Taču, ja </w:t>
      </w:r>
      <w:proofErr w:type="spellStart"/>
      <w:r w:rsidRPr="001239B9">
        <w:rPr>
          <w:rFonts w:eastAsiaTheme="minorHAnsi"/>
          <w:i/>
          <w:sz w:val="24"/>
          <w:szCs w:val="24"/>
          <w:lang w:val="lv-LV"/>
        </w:rPr>
        <w:t>skatamies</w:t>
      </w:r>
      <w:proofErr w:type="spellEnd"/>
      <w:r w:rsidRPr="001239B9">
        <w:rPr>
          <w:rFonts w:eastAsiaTheme="minorHAnsi"/>
          <w:i/>
          <w:sz w:val="24"/>
          <w:szCs w:val="24"/>
          <w:lang w:val="lv-LV"/>
        </w:rPr>
        <w:t xml:space="preserve"> tālāk, tad 3.daļas jeb Uzdevuma 2.1. punktā par reklāmas klipiem punktā 1.1.1. ir minēta tikai bezdarba riskam pakļautā mērķauditorija</w:t>
      </w:r>
      <w:proofErr w:type="gramStart"/>
      <w:r w:rsidRPr="001239B9">
        <w:rPr>
          <w:rFonts w:eastAsiaTheme="minorHAnsi"/>
          <w:i/>
          <w:sz w:val="24"/>
          <w:szCs w:val="24"/>
          <w:lang w:val="lv-LV"/>
        </w:rPr>
        <w:t xml:space="preserve"> un</w:t>
      </w:r>
      <w:proofErr w:type="gramEnd"/>
      <w:r w:rsidRPr="001239B9">
        <w:rPr>
          <w:rFonts w:eastAsiaTheme="minorHAnsi"/>
          <w:i/>
          <w:sz w:val="24"/>
          <w:szCs w:val="24"/>
          <w:lang w:val="lv-LV"/>
        </w:rPr>
        <w:t xml:space="preserve"> par darba devējiem vairs nav ne runas:</w:t>
      </w:r>
    </w:p>
    <w:p w:rsidR="001239B9" w:rsidRPr="001239B9" w:rsidRDefault="001239B9" w:rsidP="001239B9">
      <w:pPr>
        <w:jc w:val="both"/>
        <w:rPr>
          <w:rFonts w:eastAsiaTheme="minorHAnsi"/>
          <w:i/>
          <w:sz w:val="24"/>
          <w:szCs w:val="24"/>
          <w:lang w:val="lv-LV"/>
        </w:rPr>
      </w:pPr>
      <w:r w:rsidRPr="001239B9">
        <w:rPr>
          <w:rFonts w:eastAsiaTheme="minorHAnsi"/>
          <w:i/>
          <w:sz w:val="24"/>
          <w:szCs w:val="24"/>
          <w:lang w:val="lv-LV"/>
        </w:rPr>
        <w:t>"1.1.1. viens reklāmas klips, kas uzrunā bezdarba riskam pakļautas personas vecumā no 50 gadiem;</w:t>
      </w:r>
    </w:p>
    <w:p w:rsidR="001239B9" w:rsidRPr="001239B9" w:rsidRDefault="001239B9" w:rsidP="001239B9">
      <w:pPr>
        <w:jc w:val="both"/>
        <w:rPr>
          <w:rFonts w:eastAsiaTheme="minorHAnsi"/>
          <w:i/>
          <w:sz w:val="24"/>
          <w:szCs w:val="24"/>
          <w:lang w:val="lv-LV"/>
        </w:rPr>
      </w:pPr>
      <w:r w:rsidRPr="001239B9">
        <w:rPr>
          <w:rFonts w:eastAsiaTheme="minorHAnsi"/>
          <w:i/>
          <w:sz w:val="24"/>
          <w:szCs w:val="24"/>
          <w:lang w:val="lv-LV"/>
        </w:rPr>
        <w:t>1.1.2. viens reklāmas klips, kas uzrunā sekundāro mērķauditoriju - sabiedrību kopumā".</w:t>
      </w:r>
      <w:r w:rsidR="00565E74">
        <w:rPr>
          <w:rFonts w:eastAsiaTheme="minorHAnsi"/>
          <w:i/>
          <w:sz w:val="24"/>
          <w:szCs w:val="24"/>
          <w:lang w:val="lv-LV"/>
        </w:rPr>
        <w:t xml:space="preserve">  </w:t>
      </w:r>
    </w:p>
    <w:p w:rsidR="00636801" w:rsidRPr="001239B9" w:rsidRDefault="001239B9" w:rsidP="001239B9">
      <w:pPr>
        <w:jc w:val="both"/>
        <w:rPr>
          <w:rFonts w:eastAsiaTheme="minorHAnsi"/>
          <w:i/>
          <w:sz w:val="24"/>
          <w:szCs w:val="24"/>
          <w:lang w:val="lv-LV"/>
        </w:rPr>
      </w:pPr>
      <w:r w:rsidRPr="001239B9">
        <w:rPr>
          <w:rFonts w:eastAsiaTheme="minorHAnsi"/>
          <w:i/>
          <w:sz w:val="24"/>
          <w:szCs w:val="24"/>
          <w:lang w:val="lv-LV"/>
        </w:rPr>
        <w:t>Sakiet, kā īsti definējama punktā 1.1.1. minētā reklāmas klipa auditorija?</w:t>
      </w:r>
    </w:p>
    <w:p w:rsidR="00636801" w:rsidRDefault="00636801" w:rsidP="00636801">
      <w:pPr>
        <w:jc w:val="both"/>
        <w:rPr>
          <w:b/>
          <w:lang w:val="lv-LV"/>
        </w:rPr>
      </w:pPr>
    </w:p>
    <w:p w:rsidR="00C50618" w:rsidRDefault="00C50618" w:rsidP="00636801">
      <w:pPr>
        <w:jc w:val="both"/>
        <w:rPr>
          <w:b/>
          <w:lang w:val="lv-LV"/>
        </w:rPr>
      </w:pPr>
    </w:p>
    <w:p w:rsidR="0039274F" w:rsidRDefault="0039274F" w:rsidP="00636801">
      <w:pPr>
        <w:jc w:val="both"/>
        <w:rPr>
          <w:b/>
          <w:lang w:val="lv-LV"/>
        </w:rPr>
      </w:pPr>
      <w:bookmarkStart w:id="1" w:name="_GoBack"/>
      <w:bookmarkEnd w:id="1"/>
    </w:p>
    <w:p w:rsidR="00EC2606" w:rsidRDefault="00636801" w:rsidP="00636801">
      <w:pPr>
        <w:jc w:val="both"/>
        <w:rPr>
          <w:b/>
          <w:bCs/>
          <w:sz w:val="24"/>
          <w:szCs w:val="24"/>
          <w:lang w:val="lv-LV" w:eastAsia="lv-LV"/>
        </w:rPr>
      </w:pPr>
      <w:r>
        <w:rPr>
          <w:b/>
          <w:bCs/>
          <w:sz w:val="24"/>
          <w:szCs w:val="24"/>
          <w:lang w:val="lv-LV" w:eastAsia="lv-LV"/>
        </w:rPr>
        <w:t>Atbilde:</w:t>
      </w:r>
    </w:p>
    <w:p w:rsidR="008805BE" w:rsidRDefault="008805BE" w:rsidP="00565E74">
      <w:pPr>
        <w:jc w:val="both"/>
        <w:rPr>
          <w:bCs/>
          <w:sz w:val="24"/>
          <w:szCs w:val="24"/>
          <w:lang w:val="lv-LV" w:eastAsia="lv-LV"/>
        </w:rPr>
      </w:pPr>
    </w:p>
    <w:p w:rsidR="0066361F" w:rsidRDefault="00C043A6" w:rsidP="0066361F">
      <w:pPr>
        <w:jc w:val="both"/>
        <w:rPr>
          <w:sz w:val="24"/>
          <w:szCs w:val="24"/>
          <w:lang w:val="lv-LV"/>
        </w:rPr>
      </w:pPr>
      <w:r w:rsidRPr="00C043A6">
        <w:rPr>
          <w:sz w:val="24"/>
          <w:szCs w:val="24"/>
          <w:lang w:val="lv-LV"/>
        </w:rPr>
        <w:t>Tehniskās specifikācijas iepirkuma priekšmeta 2.daļas 2.7.punktā noteikta kampaņas primārā mērķauditorija - Darba devēji no prioritāri atbalstāmajām nozarēm un bezdarba riskam pakļautie nodarbinātie cilvēki vecumā no 50 gadiem, kā arī sekundārā mērķauditorija – sabiedrība kopumā. Savukārt reklāmas risinājumi (TV un radio) noteikti, lai uzrunātu katru no minētajām auditorijām, balstoties uz Sabiedrības integrācijas fonda “Izpētes ziņojuma par pašreizējo sabiedrības izpratnes un informētības līmeni un efektīvākajiem informācijas sniegšanas mehānismiem”</w:t>
      </w:r>
      <w:r w:rsidRPr="00C043A6">
        <w:rPr>
          <w:rStyle w:val="FootnoteReference"/>
          <w:bCs/>
          <w:sz w:val="24"/>
          <w:szCs w:val="24"/>
          <w:lang w:val="lv-LV" w:eastAsia="lv-LV"/>
        </w:rPr>
        <w:t xml:space="preserve"> </w:t>
      </w:r>
      <w:r>
        <w:rPr>
          <w:rStyle w:val="FootnoteReference"/>
          <w:bCs/>
          <w:sz w:val="24"/>
          <w:szCs w:val="24"/>
          <w:lang w:val="lv-LV" w:eastAsia="lv-LV"/>
        </w:rPr>
        <w:footnoteReference w:id="1"/>
      </w:r>
      <w:r w:rsidRPr="00C043A6">
        <w:rPr>
          <w:sz w:val="24"/>
          <w:szCs w:val="24"/>
          <w:lang w:val="lv-LV"/>
        </w:rPr>
        <w:t xml:space="preserve"> rezultātiem.</w:t>
      </w:r>
    </w:p>
    <w:p w:rsidR="00A3412D" w:rsidRDefault="00A3412D" w:rsidP="0066361F">
      <w:pPr>
        <w:jc w:val="both"/>
        <w:rPr>
          <w:sz w:val="24"/>
          <w:szCs w:val="24"/>
          <w:lang w:val="lv-LV"/>
        </w:rPr>
      </w:pPr>
    </w:p>
    <w:p w:rsidR="00A3412D" w:rsidRPr="0066361F" w:rsidRDefault="00A3412D" w:rsidP="0066361F">
      <w:pPr>
        <w:jc w:val="both"/>
        <w:rPr>
          <w:sz w:val="24"/>
          <w:szCs w:val="24"/>
          <w:lang w:val="lv-LV"/>
        </w:rPr>
      </w:pPr>
    </w:p>
    <w:sectPr w:rsidR="00A3412D" w:rsidRPr="0066361F" w:rsidSect="008805BE">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C94" w:rsidRDefault="00FB3C94" w:rsidP="00FB3C94">
      <w:r>
        <w:separator/>
      </w:r>
    </w:p>
  </w:endnote>
  <w:endnote w:type="continuationSeparator" w:id="0">
    <w:p w:rsidR="00FB3C94" w:rsidRDefault="00FB3C94" w:rsidP="00FB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C94" w:rsidRDefault="00FB3C94" w:rsidP="00FB3C94">
      <w:r>
        <w:separator/>
      </w:r>
    </w:p>
  </w:footnote>
  <w:footnote w:type="continuationSeparator" w:id="0">
    <w:p w:rsidR="00FB3C94" w:rsidRDefault="00FB3C94" w:rsidP="00FB3C94">
      <w:r>
        <w:continuationSeparator/>
      </w:r>
    </w:p>
  </w:footnote>
  <w:footnote w:id="1">
    <w:p w:rsidR="00C043A6" w:rsidRPr="00FB3C94" w:rsidRDefault="00C043A6" w:rsidP="00C043A6">
      <w:pPr>
        <w:pStyle w:val="FootnoteText"/>
        <w:rPr>
          <w:lang w:val="lv-LV"/>
        </w:rPr>
      </w:pPr>
      <w:r>
        <w:rPr>
          <w:rStyle w:val="FootnoteReference"/>
        </w:rPr>
        <w:footnoteRef/>
      </w:r>
      <w:r>
        <w:t xml:space="preserve"> </w:t>
      </w:r>
      <w:r w:rsidR="00D44C3B">
        <w:rPr>
          <w:lang w:val="lv-LV"/>
        </w:rPr>
        <w:t xml:space="preserve">Skatīt: </w:t>
      </w:r>
      <w:hyperlink r:id="rId1" w:history="1">
        <w:r w:rsidRPr="0059235A">
          <w:rPr>
            <w:rStyle w:val="Hyperlink"/>
            <w:lang w:val="lv-LV"/>
          </w:rPr>
          <w:t>http://www.sif.gov.lv/images/files/nodevumi/ESF_Da%C5%BE%C4%81d%C4%ABbas/Izpetes_zinojums_par_sabiedribu.pdf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21C4"/>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01"/>
    <w:rsid w:val="000103C9"/>
    <w:rsid w:val="00044E75"/>
    <w:rsid w:val="0006062D"/>
    <w:rsid w:val="001112DB"/>
    <w:rsid w:val="001239B9"/>
    <w:rsid w:val="001832F5"/>
    <w:rsid w:val="001C23FF"/>
    <w:rsid w:val="001D4D6E"/>
    <w:rsid w:val="00210E0C"/>
    <w:rsid w:val="002371BD"/>
    <w:rsid w:val="00256725"/>
    <w:rsid w:val="00297671"/>
    <w:rsid w:val="002C5117"/>
    <w:rsid w:val="002F0100"/>
    <w:rsid w:val="003323EE"/>
    <w:rsid w:val="00371051"/>
    <w:rsid w:val="00390C9D"/>
    <w:rsid w:val="0039274F"/>
    <w:rsid w:val="003A135A"/>
    <w:rsid w:val="003B5E3E"/>
    <w:rsid w:val="00407C21"/>
    <w:rsid w:val="00414EBB"/>
    <w:rsid w:val="004A010C"/>
    <w:rsid w:val="004A2A27"/>
    <w:rsid w:val="004B24AC"/>
    <w:rsid w:val="004B7242"/>
    <w:rsid w:val="004E23E0"/>
    <w:rsid w:val="00502594"/>
    <w:rsid w:val="00503608"/>
    <w:rsid w:val="005038D1"/>
    <w:rsid w:val="005068ED"/>
    <w:rsid w:val="00517176"/>
    <w:rsid w:val="00532D5C"/>
    <w:rsid w:val="005356E8"/>
    <w:rsid w:val="00540225"/>
    <w:rsid w:val="00565E74"/>
    <w:rsid w:val="00575BF6"/>
    <w:rsid w:val="005A1995"/>
    <w:rsid w:val="005C12EF"/>
    <w:rsid w:val="005E0718"/>
    <w:rsid w:val="00606889"/>
    <w:rsid w:val="00621CF5"/>
    <w:rsid w:val="00636801"/>
    <w:rsid w:val="006610E4"/>
    <w:rsid w:val="0066361F"/>
    <w:rsid w:val="00664A3C"/>
    <w:rsid w:val="00665D2B"/>
    <w:rsid w:val="006E480B"/>
    <w:rsid w:val="00736626"/>
    <w:rsid w:val="0078292C"/>
    <w:rsid w:val="00795ADA"/>
    <w:rsid w:val="007E5729"/>
    <w:rsid w:val="00824636"/>
    <w:rsid w:val="00850D7A"/>
    <w:rsid w:val="008805BE"/>
    <w:rsid w:val="00891171"/>
    <w:rsid w:val="008E250B"/>
    <w:rsid w:val="00904DA0"/>
    <w:rsid w:val="009376B4"/>
    <w:rsid w:val="009630F7"/>
    <w:rsid w:val="00974C19"/>
    <w:rsid w:val="009A742D"/>
    <w:rsid w:val="00A20D53"/>
    <w:rsid w:val="00A3412D"/>
    <w:rsid w:val="00A3721A"/>
    <w:rsid w:val="00A7703C"/>
    <w:rsid w:val="00AB3CC5"/>
    <w:rsid w:val="00AC3D63"/>
    <w:rsid w:val="00AC7681"/>
    <w:rsid w:val="00AE120C"/>
    <w:rsid w:val="00B40C8D"/>
    <w:rsid w:val="00BC14B5"/>
    <w:rsid w:val="00BF072C"/>
    <w:rsid w:val="00BF0797"/>
    <w:rsid w:val="00C043A6"/>
    <w:rsid w:val="00C349E9"/>
    <w:rsid w:val="00C50618"/>
    <w:rsid w:val="00C77535"/>
    <w:rsid w:val="00C97282"/>
    <w:rsid w:val="00CA46C2"/>
    <w:rsid w:val="00D06ABE"/>
    <w:rsid w:val="00D203C4"/>
    <w:rsid w:val="00D44C3B"/>
    <w:rsid w:val="00D66ED4"/>
    <w:rsid w:val="00D67FC1"/>
    <w:rsid w:val="00DE5FCD"/>
    <w:rsid w:val="00E61601"/>
    <w:rsid w:val="00EC2606"/>
    <w:rsid w:val="00ED1757"/>
    <w:rsid w:val="00EE53E7"/>
    <w:rsid w:val="00EE6A69"/>
    <w:rsid w:val="00F27F80"/>
    <w:rsid w:val="00F443D9"/>
    <w:rsid w:val="00F76D16"/>
    <w:rsid w:val="00FA397E"/>
    <w:rsid w:val="00FB3C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4C4A"/>
  <w15:chartTrackingRefBased/>
  <w15:docId w15:val="{136DDA6D-FED9-40AF-90BC-9C5D6D87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0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636801"/>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36801"/>
    <w:rPr>
      <w:rFonts w:ascii="Arial BaltRim" w:eastAsia="Times New Roman" w:hAnsi="Arial BaltRim" w:cs="Times New Roman"/>
      <w:b/>
      <w:sz w:val="28"/>
      <w:szCs w:val="20"/>
    </w:rPr>
  </w:style>
  <w:style w:type="character" w:styleId="Hyperlink">
    <w:name w:val="Hyperlink"/>
    <w:basedOn w:val="DefaultParagraphFont"/>
    <w:uiPriority w:val="99"/>
    <w:unhideWhenUsed/>
    <w:rsid w:val="00636801"/>
    <w:rPr>
      <w:color w:val="0563C1" w:themeColor="hyperlink"/>
      <w:u w:val="single"/>
    </w:rPr>
  </w:style>
  <w:style w:type="paragraph" w:styleId="PlainText">
    <w:name w:val="Plain Text"/>
    <w:basedOn w:val="Normal"/>
    <w:link w:val="PlainTextChar"/>
    <w:uiPriority w:val="99"/>
    <w:unhideWhenUsed/>
    <w:rsid w:val="00636801"/>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636801"/>
    <w:rPr>
      <w:rFonts w:ascii="Calibri" w:hAnsi="Calibri"/>
      <w:szCs w:val="21"/>
      <w:lang w:val="en-US"/>
    </w:rPr>
  </w:style>
  <w:style w:type="paragraph" w:styleId="ListParagraph">
    <w:name w:val="List Paragraph"/>
    <w:basedOn w:val="Normal"/>
    <w:uiPriority w:val="34"/>
    <w:qFormat/>
    <w:rsid w:val="00636801"/>
    <w:pPr>
      <w:spacing w:before="100" w:beforeAutospacing="1" w:after="100" w:afterAutospacing="1"/>
    </w:pPr>
    <w:rPr>
      <w:rFonts w:eastAsiaTheme="minorHAnsi"/>
      <w:color w:val="000000"/>
      <w:sz w:val="24"/>
      <w:szCs w:val="24"/>
      <w:lang w:val="en-US"/>
    </w:rPr>
  </w:style>
  <w:style w:type="paragraph" w:styleId="BalloonText">
    <w:name w:val="Balloon Text"/>
    <w:basedOn w:val="Normal"/>
    <w:link w:val="BalloonTextChar"/>
    <w:uiPriority w:val="99"/>
    <w:semiHidden/>
    <w:unhideWhenUsed/>
    <w:rsid w:val="00850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7A"/>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FB3C94"/>
  </w:style>
  <w:style w:type="character" w:customStyle="1" w:styleId="FootnoteTextChar">
    <w:name w:val="Footnote Text Char"/>
    <w:basedOn w:val="DefaultParagraphFont"/>
    <w:link w:val="FootnoteText"/>
    <w:uiPriority w:val="99"/>
    <w:semiHidden/>
    <w:rsid w:val="00FB3C9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B3C94"/>
    <w:rPr>
      <w:vertAlign w:val="superscript"/>
    </w:rPr>
  </w:style>
  <w:style w:type="character" w:styleId="UnresolvedMention">
    <w:name w:val="Unresolved Mention"/>
    <w:basedOn w:val="DefaultParagraphFont"/>
    <w:uiPriority w:val="99"/>
    <w:semiHidden/>
    <w:unhideWhenUsed/>
    <w:rsid w:val="00FB3C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1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if.gov.lv/images/files/nodevumi/ESF_Da%C5%BE%C4%81d%C4%ABbas/Izpetes_zinojums_par_sabiedrib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968A-74B4-40DE-8351-F86C6D1E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1268</Words>
  <Characters>723</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Ieva Kalnina</cp:lastModifiedBy>
  <cp:revision>4</cp:revision>
  <cp:lastPrinted>2018-04-09T13:03:00Z</cp:lastPrinted>
  <dcterms:created xsi:type="dcterms:W3CDTF">2018-04-10T10:45:00Z</dcterms:created>
  <dcterms:modified xsi:type="dcterms:W3CDTF">2018-04-10T11:24:00Z</dcterms:modified>
</cp:coreProperties>
</file>